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2"/>
        <w:gridCol w:w="1992"/>
        <w:gridCol w:w="264"/>
        <w:gridCol w:w="1728"/>
        <w:gridCol w:w="1993"/>
        <w:gridCol w:w="1993"/>
        <w:gridCol w:w="1993"/>
        <w:gridCol w:w="1993"/>
      </w:tblGrid>
      <w:tr w:rsidR="00D83B06" w:rsidTr="00D83B06">
        <w:tc>
          <w:tcPr>
            <w:tcW w:w="1992" w:type="dxa"/>
          </w:tcPr>
          <w:p w:rsidR="00D83B06" w:rsidRDefault="00D83B06" w:rsidP="00D83B06">
            <w:pPr>
              <w:jc w:val="center"/>
            </w:pPr>
            <w:bookmarkStart w:id="0" w:name="_GoBack"/>
            <w:bookmarkEnd w:id="0"/>
            <w:r w:rsidRPr="00D83B06">
              <w:rPr>
                <w:noProof/>
                <w:lang w:eastAsia="en-GB"/>
              </w:rPr>
              <w:drawing>
                <wp:inline distT="0" distB="0" distL="0" distR="0">
                  <wp:extent cx="609600" cy="609600"/>
                  <wp:effectExtent l="0" t="0" r="0" b="0"/>
                  <wp:docPr id="1" name="Picture 1" descr="\\Elmridge-DC1\StaffHome\robyn.fletcher\Robyn\2021\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ridge-DC1\StaffHome\robyn.fletcher\Robyn\2021\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1956" w:type="dxa"/>
            <w:gridSpan w:val="7"/>
            <w:shd w:val="clear" w:color="auto" w:fill="92D050"/>
          </w:tcPr>
          <w:p w:rsidR="00D83B06" w:rsidRDefault="00D83B06">
            <w:r>
              <w:t>Elmridge Primary School</w:t>
            </w:r>
          </w:p>
          <w:p w:rsidR="00D83B06" w:rsidRDefault="00D83B06"/>
          <w:p w:rsidR="00D83B06" w:rsidRDefault="00D83B06">
            <w:r>
              <w:t>Skills Progression in Phonics</w:t>
            </w:r>
          </w:p>
        </w:tc>
      </w:tr>
      <w:tr w:rsidR="00D83B06" w:rsidTr="00D83B06">
        <w:tc>
          <w:tcPr>
            <w:tcW w:w="1992" w:type="dxa"/>
          </w:tcPr>
          <w:p w:rsidR="00D83B06" w:rsidRDefault="00D83B06"/>
        </w:tc>
        <w:tc>
          <w:tcPr>
            <w:tcW w:w="2256" w:type="dxa"/>
            <w:gridSpan w:val="2"/>
            <w:shd w:val="clear" w:color="auto" w:fill="C5E0B3" w:themeFill="accent6" w:themeFillTint="66"/>
          </w:tcPr>
          <w:p w:rsidR="00D83B06" w:rsidRDefault="00D83B06" w:rsidP="00D83B06">
            <w:pPr>
              <w:jc w:val="center"/>
            </w:pPr>
            <w:r>
              <w:t>Nursery</w:t>
            </w:r>
          </w:p>
        </w:tc>
        <w:tc>
          <w:tcPr>
            <w:tcW w:w="9700" w:type="dxa"/>
            <w:gridSpan w:val="5"/>
          </w:tcPr>
          <w:p w:rsidR="00D83B06" w:rsidRDefault="00D83B06"/>
        </w:tc>
      </w:tr>
      <w:tr w:rsidR="00D83B06" w:rsidTr="008174CF">
        <w:tc>
          <w:tcPr>
            <w:tcW w:w="1992" w:type="dxa"/>
          </w:tcPr>
          <w:p w:rsidR="00D83B06" w:rsidRDefault="00D83B06"/>
        </w:tc>
        <w:tc>
          <w:tcPr>
            <w:tcW w:w="1992" w:type="dxa"/>
          </w:tcPr>
          <w:p w:rsidR="00D83B06" w:rsidRDefault="00D83B06"/>
        </w:tc>
        <w:tc>
          <w:tcPr>
            <w:tcW w:w="3985" w:type="dxa"/>
            <w:gridSpan w:val="3"/>
            <w:shd w:val="clear" w:color="auto" w:fill="C5E0B3" w:themeFill="accent6" w:themeFillTint="66"/>
          </w:tcPr>
          <w:p w:rsidR="00D83B06" w:rsidRDefault="00D83B06" w:rsidP="00D83B06">
            <w:pPr>
              <w:jc w:val="center"/>
            </w:pPr>
            <w:r>
              <w:t>Reception</w:t>
            </w:r>
          </w:p>
        </w:tc>
        <w:tc>
          <w:tcPr>
            <w:tcW w:w="5979" w:type="dxa"/>
            <w:gridSpan w:val="3"/>
          </w:tcPr>
          <w:p w:rsidR="00D83B06" w:rsidRDefault="00D83B06"/>
        </w:tc>
      </w:tr>
      <w:tr w:rsidR="00550203" w:rsidTr="00550203">
        <w:tc>
          <w:tcPr>
            <w:tcW w:w="1992" w:type="dxa"/>
          </w:tcPr>
          <w:p w:rsidR="00550203" w:rsidRDefault="00550203"/>
        </w:tc>
        <w:tc>
          <w:tcPr>
            <w:tcW w:w="3984" w:type="dxa"/>
            <w:gridSpan w:val="3"/>
          </w:tcPr>
          <w:p w:rsidR="00550203" w:rsidRDefault="00550203"/>
        </w:tc>
        <w:tc>
          <w:tcPr>
            <w:tcW w:w="3986" w:type="dxa"/>
            <w:gridSpan w:val="2"/>
            <w:shd w:val="clear" w:color="auto" w:fill="C5E0B3" w:themeFill="accent6" w:themeFillTint="66"/>
          </w:tcPr>
          <w:p w:rsidR="00550203" w:rsidRDefault="00550203" w:rsidP="00550203">
            <w:pPr>
              <w:jc w:val="center"/>
            </w:pPr>
            <w:r>
              <w:t>Year 1</w:t>
            </w:r>
          </w:p>
        </w:tc>
        <w:tc>
          <w:tcPr>
            <w:tcW w:w="3986" w:type="dxa"/>
            <w:gridSpan w:val="2"/>
          </w:tcPr>
          <w:p w:rsidR="00550203" w:rsidRDefault="00550203"/>
        </w:tc>
      </w:tr>
      <w:tr w:rsidR="00550203" w:rsidTr="00550203">
        <w:tc>
          <w:tcPr>
            <w:tcW w:w="1992" w:type="dxa"/>
          </w:tcPr>
          <w:p w:rsidR="00550203" w:rsidRDefault="00550203"/>
        </w:tc>
        <w:tc>
          <w:tcPr>
            <w:tcW w:w="7970" w:type="dxa"/>
            <w:gridSpan w:val="5"/>
          </w:tcPr>
          <w:p w:rsidR="00550203" w:rsidRDefault="00550203"/>
        </w:tc>
        <w:tc>
          <w:tcPr>
            <w:tcW w:w="3986" w:type="dxa"/>
            <w:gridSpan w:val="2"/>
            <w:shd w:val="clear" w:color="auto" w:fill="C5E0B3" w:themeFill="accent6" w:themeFillTint="66"/>
          </w:tcPr>
          <w:p w:rsidR="00550203" w:rsidRDefault="00550203" w:rsidP="00550203">
            <w:pPr>
              <w:jc w:val="center"/>
            </w:pPr>
            <w:r>
              <w:t>Year 2</w:t>
            </w:r>
          </w:p>
        </w:tc>
      </w:tr>
      <w:tr w:rsidR="00D83B06" w:rsidTr="00550203">
        <w:tc>
          <w:tcPr>
            <w:tcW w:w="1992" w:type="dxa"/>
          </w:tcPr>
          <w:p w:rsidR="00D83B06" w:rsidRDefault="00D83B06">
            <w:r>
              <w:t>Phonics Phases</w:t>
            </w:r>
          </w:p>
        </w:tc>
        <w:tc>
          <w:tcPr>
            <w:tcW w:w="1992" w:type="dxa"/>
          </w:tcPr>
          <w:p w:rsidR="00D83B06" w:rsidRDefault="00D83B06">
            <w:r>
              <w:t>Phase 1</w:t>
            </w:r>
          </w:p>
        </w:tc>
        <w:tc>
          <w:tcPr>
            <w:tcW w:w="1992" w:type="dxa"/>
            <w:gridSpan w:val="2"/>
          </w:tcPr>
          <w:p w:rsidR="00D83B06" w:rsidRDefault="00D83B06">
            <w:r>
              <w:t>Phase 2</w:t>
            </w:r>
          </w:p>
        </w:tc>
        <w:tc>
          <w:tcPr>
            <w:tcW w:w="1993" w:type="dxa"/>
          </w:tcPr>
          <w:p w:rsidR="00D83B06" w:rsidRDefault="00D83B06">
            <w:r>
              <w:t>Phase 3</w:t>
            </w:r>
          </w:p>
        </w:tc>
        <w:tc>
          <w:tcPr>
            <w:tcW w:w="1993" w:type="dxa"/>
          </w:tcPr>
          <w:p w:rsidR="00D83B06" w:rsidRDefault="00D83B06">
            <w:r>
              <w:t>Phase 4</w:t>
            </w:r>
          </w:p>
        </w:tc>
        <w:tc>
          <w:tcPr>
            <w:tcW w:w="1993" w:type="dxa"/>
          </w:tcPr>
          <w:p w:rsidR="00D83B06" w:rsidRDefault="00D83B06">
            <w:r>
              <w:t>Phase 5</w:t>
            </w:r>
          </w:p>
        </w:tc>
        <w:tc>
          <w:tcPr>
            <w:tcW w:w="1993" w:type="dxa"/>
          </w:tcPr>
          <w:p w:rsidR="00D83B06" w:rsidRDefault="00D83B06">
            <w:r>
              <w:t>Phase 6</w:t>
            </w:r>
          </w:p>
        </w:tc>
      </w:tr>
      <w:tr w:rsidR="00D83B06" w:rsidRPr="00D83B06" w:rsidTr="00550203">
        <w:trPr>
          <w:trHeight w:val="2117"/>
        </w:trPr>
        <w:tc>
          <w:tcPr>
            <w:tcW w:w="1992" w:type="dxa"/>
          </w:tcPr>
          <w:p w:rsidR="00D83B06" w:rsidRDefault="00D83B06">
            <w:r>
              <w:t>Generic Skills</w:t>
            </w:r>
          </w:p>
        </w:tc>
        <w:tc>
          <w:tcPr>
            <w:tcW w:w="1992" w:type="dxa"/>
          </w:tcPr>
          <w:tbl>
            <w:tblPr>
              <w:tblW w:w="0" w:type="auto"/>
              <w:tblBorders>
                <w:top w:val="nil"/>
                <w:left w:val="nil"/>
                <w:bottom w:val="nil"/>
                <w:right w:val="nil"/>
              </w:tblBorders>
              <w:tblLook w:val="0000" w:firstRow="0" w:lastRow="0" w:firstColumn="0" w:lastColumn="0" w:noHBand="0" w:noVBand="0"/>
            </w:tblPr>
            <w:tblGrid>
              <w:gridCol w:w="1776"/>
            </w:tblGrid>
            <w:tr w:rsidR="00D83B06" w:rsidRPr="00D83B06">
              <w:trPr>
                <w:trHeight w:val="2338"/>
              </w:trPr>
              <w:tc>
                <w:tcPr>
                  <w:tcW w:w="0" w:type="auto"/>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1: General sound discrimination – environmental sounds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2: General sound discrimination – instrumental sounds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3: General sound discrimination – body percussion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4: Rhythm and rhyme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5: Alliteration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6: Voice sounds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Aspect 7: Oral blending and segmenting </w:t>
                  </w:r>
                </w:p>
              </w:tc>
            </w:tr>
          </w:tbl>
          <w:p w:rsidR="00D83B06" w:rsidRPr="00D83B06" w:rsidRDefault="00D83B06">
            <w:pPr>
              <w:rPr>
                <w:rFonts w:cstheme="minorHAnsi"/>
              </w:rPr>
            </w:pPr>
          </w:p>
        </w:tc>
        <w:tc>
          <w:tcPr>
            <w:tcW w:w="1992" w:type="dxa"/>
            <w:gridSpan w:val="2"/>
          </w:tcPr>
          <w:tbl>
            <w:tblPr>
              <w:tblW w:w="0" w:type="auto"/>
              <w:tblBorders>
                <w:top w:val="nil"/>
                <w:left w:val="nil"/>
                <w:bottom w:val="nil"/>
                <w:right w:val="nil"/>
              </w:tblBorders>
              <w:tblLook w:val="0000" w:firstRow="0" w:lastRow="0" w:firstColumn="0" w:lastColumn="0" w:noHBand="0" w:noVBand="0"/>
            </w:tblPr>
            <w:tblGrid>
              <w:gridCol w:w="1776"/>
            </w:tblGrid>
            <w:tr w:rsidR="00D83B06" w:rsidRPr="00D83B06">
              <w:trPr>
                <w:trHeight w:val="3453"/>
              </w:trPr>
              <w:tc>
                <w:tcPr>
                  <w:tcW w:w="0" w:type="auto"/>
                </w:tcPr>
                <w:p w:rsid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Develops children's knowledge of </w:t>
                  </w:r>
                  <w:r w:rsidRPr="00D83B06">
                    <w:rPr>
                      <w:rFonts w:asciiTheme="minorHAnsi" w:hAnsiTheme="minorHAnsi" w:cstheme="minorHAnsi"/>
                      <w:b/>
                      <w:bCs/>
                      <w:sz w:val="20"/>
                      <w:szCs w:val="20"/>
                    </w:rPr>
                    <w:t xml:space="preserve">grapheme-phoneme correspondences </w:t>
                  </w:r>
                  <w:r w:rsidRPr="00D83B06">
                    <w:rPr>
                      <w:rFonts w:asciiTheme="minorHAnsi" w:hAnsiTheme="minorHAnsi" w:cstheme="minorHAnsi"/>
                      <w:sz w:val="20"/>
                      <w:szCs w:val="20"/>
                    </w:rPr>
                    <w:t xml:space="preserve">(GPCs), their skills of blending and segmenting with letters and recognition of high frequency words containing GPCs not taught at that phase. Develops children's knowledge of 19 letters of the alphabet with one sound for each. Teaches and practises the skills of blending separate sounds together into whole words for reading and </w:t>
                  </w:r>
                  <w:r w:rsidRPr="00D83B06">
                    <w:rPr>
                      <w:rFonts w:asciiTheme="minorHAnsi" w:hAnsiTheme="minorHAnsi" w:cstheme="minorHAnsi"/>
                      <w:sz w:val="20"/>
                      <w:szCs w:val="20"/>
                    </w:rPr>
                    <w:lastRenderedPageBreak/>
                    <w:t xml:space="preserve">segmenting whole words into separate sounds for spelling. </w:t>
                  </w:r>
                </w:p>
                <w:p w:rsidR="00D83B06" w:rsidRPr="00D83B06" w:rsidRDefault="00D83B06" w:rsidP="00D83B06">
                  <w:pPr>
                    <w:pStyle w:val="Default"/>
                    <w:rPr>
                      <w:rFonts w:asciiTheme="minorHAnsi" w:hAnsiTheme="minorHAnsi" w:cstheme="minorHAnsi"/>
                      <w:sz w:val="20"/>
                      <w:szCs w:val="20"/>
                    </w:rPr>
                  </w:pPr>
                </w:p>
              </w:tc>
            </w:tr>
          </w:tbl>
          <w:p w:rsidR="00D83B06" w:rsidRPr="00D83B06" w:rsidRDefault="00D83B06">
            <w:pPr>
              <w:rPr>
                <w:rFonts w:cstheme="minorHAnsi"/>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D83B06" w:rsidRPr="00D83B06">
              <w:trPr>
                <w:trHeight w:val="3453"/>
              </w:trPr>
              <w:tc>
                <w:tcPr>
                  <w:tcW w:w="0" w:type="auto"/>
                </w:tcPr>
                <w:p w:rsid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lastRenderedPageBreak/>
                    <w:t xml:space="preserve">Develops children's knowledge of GPCs, their skills of blending and segmenting with letters and recognition of high frequency words containing GPCs not taught at that phase. Develops children's knowledge of the seven remaining letters of the alphabet and graphemes to cover most of the phonemes represented by more than one letter. Teaches and practises the skills of blending and segmenting sounds </w:t>
                  </w:r>
                  <w:r w:rsidRPr="00D83B06">
                    <w:rPr>
                      <w:rFonts w:asciiTheme="minorHAnsi" w:hAnsiTheme="minorHAnsi" w:cstheme="minorHAnsi"/>
                      <w:sz w:val="20"/>
                      <w:szCs w:val="20"/>
                    </w:rPr>
                    <w:lastRenderedPageBreak/>
                    <w:t>represented by single letters and graphemes of more than one letter.</w:t>
                  </w:r>
                </w:p>
                <w:p w:rsidR="00D83B06" w:rsidRPr="00D83B06" w:rsidRDefault="00D83B06" w:rsidP="00D83B06">
                  <w:pPr>
                    <w:pStyle w:val="Default"/>
                    <w:rPr>
                      <w:rFonts w:asciiTheme="minorHAnsi" w:hAnsiTheme="minorHAnsi" w:cstheme="minorHAnsi"/>
                      <w:sz w:val="20"/>
                      <w:szCs w:val="20"/>
                    </w:rPr>
                  </w:pPr>
                </w:p>
              </w:tc>
            </w:tr>
          </w:tbl>
          <w:p w:rsidR="00D83B06" w:rsidRPr="00D83B06" w:rsidRDefault="00D83B06">
            <w:pPr>
              <w:rPr>
                <w:rFonts w:cstheme="minorHAnsi"/>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D83B06" w:rsidRPr="00D83B06">
              <w:trPr>
                <w:trHeight w:val="2338"/>
              </w:trPr>
              <w:tc>
                <w:tcPr>
                  <w:tcW w:w="0" w:type="auto"/>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lastRenderedPageBreak/>
                    <w:t xml:space="preserve">Develops children's knowledge of GPCs, their skills of blending and segmenting with letters and recognition of high frequency words containing GPCs not taught at that phase. There are no new GPCs to be learnt in this phase. Develops children's knowledge and skills of blending and segmenting words with adjacent consonants. </w:t>
                  </w:r>
                </w:p>
              </w:tc>
            </w:tr>
          </w:tbl>
          <w:p w:rsidR="00D83B06" w:rsidRPr="00D83B06" w:rsidRDefault="00D83B06">
            <w:pPr>
              <w:rPr>
                <w:rFonts w:cstheme="minorHAnsi"/>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D83B06" w:rsidRPr="00D83B06">
              <w:trPr>
                <w:trHeight w:val="3036"/>
              </w:trPr>
              <w:tc>
                <w:tcPr>
                  <w:tcW w:w="0" w:type="auto"/>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Develops children's knowledge of GPCs, their skills of blending and segmenting with letters and recognition of high frequency words containing GPCs not taught at that phase. Children learn more graphemes for the 40+ phonemes taught in Phases Two and Three and more ways of pronouncing graphemes introduced in Phases Two and Three. Teaches and practices the skills of blending and segmenting </w:t>
                  </w:r>
                  <w:r w:rsidRPr="00D83B06">
                    <w:rPr>
                      <w:rFonts w:asciiTheme="minorHAnsi" w:hAnsiTheme="minorHAnsi" w:cstheme="minorHAnsi"/>
                      <w:sz w:val="20"/>
                      <w:szCs w:val="20"/>
                    </w:rPr>
                    <w:lastRenderedPageBreak/>
                    <w:t xml:space="preserve">using all GPCs taught. </w:t>
                  </w:r>
                </w:p>
              </w:tc>
            </w:tr>
          </w:tbl>
          <w:p w:rsidR="00D83B06" w:rsidRPr="00D83B06" w:rsidRDefault="00D83B06">
            <w:pPr>
              <w:rPr>
                <w:rFonts w:cstheme="minorHAnsi"/>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D83B06" w:rsidRPr="00D83B06">
              <w:trPr>
                <w:trHeight w:val="2060"/>
              </w:trPr>
              <w:tc>
                <w:tcPr>
                  <w:tcW w:w="0" w:type="auto"/>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lastRenderedPageBreak/>
                    <w:t xml:space="preserve">Develops children's knowledge of GPCs, their skills of blending and segmenting with letters and recognition of high frequency words containing GPCs not taught at that phase. Increases fluency of the blending of words encountered for the first time in reading and accuracy of spelling choices. </w:t>
                  </w:r>
                </w:p>
              </w:tc>
            </w:tr>
          </w:tbl>
          <w:p w:rsidR="00D83B06" w:rsidRPr="00D83B06" w:rsidRDefault="00D83B06">
            <w:pPr>
              <w:rPr>
                <w:rFonts w:cstheme="minorHAnsi"/>
              </w:rPr>
            </w:pPr>
          </w:p>
        </w:tc>
      </w:tr>
      <w:tr w:rsidR="00D83B06" w:rsidRPr="00D83B06" w:rsidTr="00550203">
        <w:tc>
          <w:tcPr>
            <w:tcW w:w="1992" w:type="dxa"/>
          </w:tcPr>
          <w:p w:rsidR="00D83B06" w:rsidRDefault="00D83B06">
            <w:r>
              <w:t>Grapheme Phoneme Correspondence (GPC)</w:t>
            </w:r>
          </w:p>
        </w:tc>
        <w:tc>
          <w:tcPr>
            <w:tcW w:w="1992" w:type="dxa"/>
          </w:tcPr>
          <w:p w:rsidR="00D83B06" w:rsidRPr="00D83B06" w:rsidRDefault="00D83B06">
            <w:pPr>
              <w:rPr>
                <w:rFonts w:cstheme="minorHAnsi"/>
              </w:rPr>
            </w:pPr>
          </w:p>
        </w:tc>
        <w:tc>
          <w:tcPr>
            <w:tcW w:w="1992" w:type="dxa"/>
            <w:gridSpan w:val="2"/>
          </w:tcPr>
          <w:p w:rsidR="00D83B06" w:rsidRPr="00D83B06" w:rsidRDefault="00D83B06" w:rsidP="00D83B06">
            <w:pPr>
              <w:pStyle w:val="Default"/>
              <w:rPr>
                <w:rFonts w:asciiTheme="minorHAnsi" w:hAnsiTheme="minorHAnsi" w:cstheme="minorHAnsi"/>
              </w:rPr>
            </w:pPr>
            <w:r w:rsidRPr="00D83B06">
              <w:rPr>
                <w:rFonts w:asciiTheme="minorHAnsi" w:hAnsiTheme="minorHAnsi" w:cstheme="minorHAnsi"/>
              </w:rPr>
              <w:t xml:space="preserve">s, a, t, p </w:t>
            </w:r>
          </w:p>
          <w:p w:rsidR="00D83B06" w:rsidRPr="00D83B06" w:rsidRDefault="00D83B06" w:rsidP="00D83B06">
            <w:pPr>
              <w:pStyle w:val="Default"/>
              <w:rPr>
                <w:rFonts w:asciiTheme="minorHAnsi" w:hAnsiTheme="minorHAnsi" w:cstheme="minorHAnsi"/>
              </w:rPr>
            </w:pPr>
            <w:r w:rsidRPr="00D83B06">
              <w:rPr>
                <w:rFonts w:asciiTheme="minorHAnsi" w:hAnsiTheme="minorHAnsi" w:cstheme="minorHAnsi"/>
              </w:rPr>
              <w:t xml:space="preserve">i, n, m, d </w:t>
            </w:r>
          </w:p>
          <w:p w:rsidR="00D83B06" w:rsidRPr="00D83B06" w:rsidRDefault="00D83B06" w:rsidP="00D83B06">
            <w:pPr>
              <w:pStyle w:val="Default"/>
              <w:rPr>
                <w:rFonts w:asciiTheme="minorHAnsi" w:hAnsiTheme="minorHAnsi" w:cstheme="minorHAnsi"/>
              </w:rPr>
            </w:pPr>
            <w:r w:rsidRPr="00D83B06">
              <w:rPr>
                <w:rFonts w:asciiTheme="minorHAnsi" w:hAnsiTheme="minorHAnsi" w:cstheme="minorHAnsi"/>
              </w:rPr>
              <w:t xml:space="preserve">g, o, c, k </w:t>
            </w:r>
          </w:p>
          <w:p w:rsidR="00D83B06" w:rsidRPr="00D83B06" w:rsidRDefault="00D83B06" w:rsidP="00D83B06">
            <w:pPr>
              <w:pStyle w:val="Default"/>
              <w:rPr>
                <w:rFonts w:asciiTheme="minorHAnsi" w:hAnsiTheme="minorHAnsi" w:cstheme="minorHAnsi"/>
              </w:rPr>
            </w:pPr>
            <w:r w:rsidRPr="00D83B06">
              <w:rPr>
                <w:rFonts w:asciiTheme="minorHAnsi" w:hAnsiTheme="minorHAnsi" w:cstheme="minorHAnsi"/>
              </w:rPr>
              <w:t xml:space="preserve">ck, e, u, r </w:t>
            </w:r>
          </w:p>
          <w:p w:rsidR="00D83B06" w:rsidRPr="00D83B06" w:rsidRDefault="00D83B06" w:rsidP="00D83B06">
            <w:pPr>
              <w:rPr>
                <w:rFonts w:cstheme="minorHAnsi"/>
              </w:rPr>
            </w:pPr>
            <w:r w:rsidRPr="00D83B06">
              <w:rPr>
                <w:rFonts w:cstheme="minorHAnsi"/>
                <w:sz w:val="20"/>
                <w:szCs w:val="20"/>
              </w:rPr>
              <w:t xml:space="preserve">h, b, f, ff, l, ll, ss </w:t>
            </w: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j, v, w, x, y, z, zz, qu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Consonant digraphs: </w:t>
            </w:r>
            <w:r w:rsidRPr="00D83B06">
              <w:rPr>
                <w:rFonts w:asciiTheme="minorHAnsi" w:hAnsiTheme="minorHAnsi" w:cstheme="minorHAnsi"/>
                <w:sz w:val="20"/>
                <w:szCs w:val="20"/>
              </w:rPr>
              <w:t xml:space="preserve">ch, sh, th, ng, </w:t>
            </w:r>
            <w:r w:rsidRPr="00D83B06">
              <w:rPr>
                <w:rFonts w:asciiTheme="minorHAnsi" w:hAnsiTheme="minorHAnsi" w:cstheme="minorHAnsi"/>
                <w:color w:val="FF0000"/>
                <w:sz w:val="20"/>
                <w:szCs w:val="20"/>
              </w:rPr>
              <w:t>nk</w:t>
            </w:r>
            <w:r w:rsidRPr="00D83B06">
              <w:rPr>
                <w:rFonts w:asciiTheme="minorHAnsi" w:hAnsiTheme="minorHAnsi" w:cstheme="minorHAnsi"/>
                <w:sz w:val="20"/>
                <w:szCs w:val="20"/>
              </w:rPr>
              <w:t xml:space="preserve">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Vowel digraphs: </w:t>
            </w:r>
          </w:p>
          <w:p w:rsidR="00D83B06" w:rsidRPr="00D83B06" w:rsidRDefault="00D83B06" w:rsidP="00D83B06">
            <w:pPr>
              <w:rPr>
                <w:rFonts w:cstheme="minorHAnsi"/>
              </w:rPr>
            </w:pPr>
            <w:r w:rsidRPr="00D83B06">
              <w:rPr>
                <w:rFonts w:cstheme="minorHAnsi"/>
                <w:sz w:val="20"/>
                <w:szCs w:val="20"/>
              </w:rPr>
              <w:t xml:space="preserve">ai, ee, igh, oa, oo, ar, or, ur, ow, oi, ear, air, ure, er </w:t>
            </w: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Practise recognition and recall of Phase 2 &amp; 3 graphemes and reading and spelling CVC words.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Teach blending and segmentation of adjacent consonants.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Teach and practise reading &amp; spelling CVCC words. </w:t>
            </w:r>
          </w:p>
          <w:p w:rsidR="00D83B06" w:rsidRPr="00D83B06" w:rsidRDefault="00D83B06" w:rsidP="00D83B06">
            <w:pPr>
              <w:rPr>
                <w:rFonts w:cstheme="minorHAnsi"/>
              </w:rPr>
            </w:pPr>
            <w:r w:rsidRPr="00D83B06">
              <w:rPr>
                <w:rFonts w:cstheme="minorHAnsi"/>
                <w:sz w:val="20"/>
                <w:szCs w:val="20"/>
              </w:rPr>
              <w:t xml:space="preserve">Reading common high frequency words. </w:t>
            </w: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Practise recognition and recall of Phase 2, 3 &amp; 5 graphemes (as learned).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Learn new phonemes: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/zh/ (treasure), ay (day), ou (out), ie (tie), ea (eat), oy (boy), ir (girl),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ue (blue), aw (saw), wh (when), ph (photo), ew (new), oe (toe), au (Paul),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Split digraphs</w:t>
            </w:r>
            <w:r w:rsidRPr="00D83B06">
              <w:rPr>
                <w:rFonts w:asciiTheme="minorHAnsi" w:hAnsiTheme="minorHAnsi" w:cstheme="minorHAnsi"/>
                <w:sz w:val="20"/>
                <w:szCs w:val="20"/>
              </w:rPr>
              <w:t xml:space="preserve">: a-e (make), e-e (these), i-e (like), o-e (home), u-e (rule). </w:t>
            </w:r>
          </w:p>
          <w:p w:rsidR="00D83B06" w:rsidRDefault="00D83B06" w:rsidP="00D83B06">
            <w:pPr>
              <w:rPr>
                <w:rFonts w:cstheme="minorHAnsi"/>
                <w:sz w:val="20"/>
                <w:szCs w:val="20"/>
              </w:rPr>
            </w:pPr>
            <w:r w:rsidRPr="00D83B06">
              <w:rPr>
                <w:rFonts w:cstheme="minorHAnsi"/>
                <w:b/>
                <w:bCs/>
                <w:sz w:val="20"/>
                <w:szCs w:val="20"/>
              </w:rPr>
              <w:t xml:space="preserve">Teach alternative pronunciations for graphemes </w:t>
            </w:r>
            <w:r w:rsidRPr="00D83B06">
              <w:rPr>
                <w:rFonts w:cstheme="minorHAnsi"/>
                <w:sz w:val="20"/>
                <w:szCs w:val="20"/>
              </w:rPr>
              <w:t xml:space="preserve">(p136): i, o, c, g, u, ow, ie, ea, er, a, y, ch, ou. </w:t>
            </w:r>
          </w:p>
          <w:p w:rsidR="00D83B06" w:rsidRPr="00D83B06" w:rsidRDefault="00D83B06" w:rsidP="00D83B06">
            <w:pPr>
              <w:rPr>
                <w:rFonts w:cstheme="minorHAnsi"/>
              </w:rPr>
            </w:pP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Investigate and learn how to add suffixes (-s, -es, -ing, -ed, -s, -er, -est, -y, -en, -ful, -ly, -ment, -ness).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Teach spelling of long words.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Introduce &amp; teach the past tense.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Learning &amp; practising spelling.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Syllables.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Base words. </w:t>
            </w:r>
          </w:p>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Analogy. </w:t>
            </w:r>
          </w:p>
          <w:p w:rsidR="00D83B06" w:rsidRPr="00D83B06" w:rsidRDefault="00D83B06" w:rsidP="00D83B06">
            <w:pPr>
              <w:rPr>
                <w:rFonts w:cstheme="minorHAnsi"/>
              </w:rPr>
            </w:pPr>
            <w:r w:rsidRPr="00D83B06">
              <w:rPr>
                <w:rFonts w:cstheme="minorHAnsi"/>
                <w:sz w:val="20"/>
                <w:szCs w:val="20"/>
              </w:rPr>
              <w:t xml:space="preserve">Mnemonics. </w:t>
            </w:r>
          </w:p>
        </w:tc>
      </w:tr>
      <w:tr w:rsidR="00D83B06" w:rsidRPr="00D83B06" w:rsidTr="00550203">
        <w:tc>
          <w:tcPr>
            <w:tcW w:w="1992" w:type="dxa"/>
          </w:tcPr>
          <w:p w:rsidR="00D83B06" w:rsidRDefault="00D83B06">
            <w:r>
              <w:t>Key Words</w:t>
            </w:r>
          </w:p>
          <w:p w:rsidR="00D83B06" w:rsidRDefault="00D83B06"/>
        </w:tc>
        <w:tc>
          <w:tcPr>
            <w:tcW w:w="1992" w:type="dxa"/>
          </w:tcPr>
          <w:p w:rsidR="00D83B06" w:rsidRPr="00D83B06" w:rsidRDefault="00D83B06">
            <w:pPr>
              <w:rPr>
                <w:rFonts w:cstheme="minorHAnsi"/>
              </w:rPr>
            </w:pPr>
          </w:p>
        </w:tc>
        <w:tc>
          <w:tcPr>
            <w:tcW w:w="1992" w:type="dxa"/>
            <w:gridSpan w:val="2"/>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sz w:val="20"/>
                <w:szCs w:val="20"/>
              </w:rPr>
              <w:t xml:space="preserve">Be able to read the five tricky words: </w:t>
            </w:r>
            <w:r w:rsidRPr="00D83B06">
              <w:rPr>
                <w:rFonts w:asciiTheme="minorHAnsi" w:hAnsiTheme="minorHAnsi" w:cstheme="minorHAnsi"/>
                <w:b/>
                <w:bCs/>
                <w:sz w:val="20"/>
                <w:szCs w:val="20"/>
              </w:rPr>
              <w:t xml:space="preserve">the, to, I no, go. </w:t>
            </w:r>
          </w:p>
          <w:p w:rsidR="00D83B06" w:rsidRPr="00D83B06" w:rsidRDefault="00D83B06" w:rsidP="00D83B06">
            <w:pPr>
              <w:pStyle w:val="Default"/>
              <w:rPr>
                <w:rFonts w:asciiTheme="minorHAnsi" w:hAnsiTheme="minorHAnsi" w:cstheme="minorHAnsi"/>
              </w:rPr>
            </w:pP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Key words: </w:t>
            </w:r>
            <w:r w:rsidRPr="00D83B06">
              <w:rPr>
                <w:rFonts w:asciiTheme="minorHAnsi" w:hAnsiTheme="minorHAnsi" w:cstheme="minorHAnsi"/>
                <w:sz w:val="20"/>
                <w:szCs w:val="20"/>
              </w:rPr>
              <w:t xml:space="preserve">no, go, I, the, to, he, she, my, was, we, me, be, to, they, all </w:t>
            </w:r>
          </w:p>
          <w:p w:rsidR="00D83B06" w:rsidRPr="00D83B06" w:rsidRDefault="00D83B06" w:rsidP="00D83B06">
            <w:pPr>
              <w:pStyle w:val="Default"/>
              <w:rPr>
                <w:rFonts w:asciiTheme="minorHAnsi" w:hAnsiTheme="minorHAnsi" w:cstheme="minorHAnsi"/>
                <w:sz w:val="20"/>
                <w:szCs w:val="20"/>
              </w:rPr>
            </w:pP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Key words: </w:t>
            </w:r>
            <w:r w:rsidRPr="00D83B06">
              <w:rPr>
                <w:rFonts w:asciiTheme="minorHAnsi" w:hAnsiTheme="minorHAnsi" w:cstheme="minorHAnsi"/>
                <w:sz w:val="20"/>
                <w:szCs w:val="20"/>
              </w:rPr>
              <w:t xml:space="preserve">said, so, he, she, we, me, be, have, like, some, come, was, you, were, there, little, one, they, are, all, do, when, out, what, my, her. </w:t>
            </w:r>
          </w:p>
          <w:p w:rsidR="00D83B06" w:rsidRPr="00D83B06" w:rsidRDefault="00D83B06" w:rsidP="00D83B06">
            <w:pPr>
              <w:pStyle w:val="Default"/>
              <w:rPr>
                <w:rFonts w:asciiTheme="minorHAnsi" w:hAnsiTheme="minorHAnsi" w:cstheme="minorHAnsi"/>
                <w:sz w:val="20"/>
                <w:szCs w:val="20"/>
              </w:rPr>
            </w:pP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Key words: All 100 high frequency words </w:t>
            </w:r>
          </w:p>
          <w:p w:rsidR="00D83B06" w:rsidRPr="00D83B06" w:rsidRDefault="00D83B06" w:rsidP="00D83B06">
            <w:pPr>
              <w:pStyle w:val="Default"/>
              <w:rPr>
                <w:rFonts w:asciiTheme="minorHAnsi" w:hAnsiTheme="minorHAnsi" w:cstheme="minorHAnsi"/>
                <w:sz w:val="20"/>
                <w:szCs w:val="20"/>
              </w:rPr>
            </w:pPr>
          </w:p>
        </w:tc>
        <w:tc>
          <w:tcPr>
            <w:tcW w:w="1993" w:type="dxa"/>
          </w:tcPr>
          <w:p w:rsidR="00D83B06" w:rsidRPr="00D83B06" w:rsidRDefault="00D83B06" w:rsidP="00D83B06">
            <w:pPr>
              <w:pStyle w:val="Default"/>
              <w:rPr>
                <w:rFonts w:asciiTheme="minorHAnsi" w:hAnsiTheme="minorHAnsi" w:cstheme="minorHAnsi"/>
                <w:sz w:val="20"/>
                <w:szCs w:val="20"/>
              </w:rPr>
            </w:pPr>
            <w:r w:rsidRPr="00D83B06">
              <w:rPr>
                <w:rFonts w:asciiTheme="minorHAnsi" w:hAnsiTheme="minorHAnsi" w:cstheme="minorHAnsi"/>
                <w:b/>
                <w:bCs/>
                <w:sz w:val="20"/>
                <w:szCs w:val="20"/>
              </w:rPr>
              <w:t xml:space="preserve">Key words: he next 200 high frequency words. </w:t>
            </w:r>
          </w:p>
          <w:p w:rsidR="00D83B06" w:rsidRPr="00D83B06" w:rsidRDefault="00D83B06" w:rsidP="00D83B06">
            <w:pPr>
              <w:pStyle w:val="Default"/>
              <w:rPr>
                <w:rFonts w:asciiTheme="minorHAnsi" w:hAnsiTheme="minorHAnsi" w:cstheme="minorHAnsi"/>
                <w:sz w:val="20"/>
                <w:szCs w:val="20"/>
              </w:rPr>
            </w:pPr>
          </w:p>
        </w:tc>
      </w:tr>
    </w:tbl>
    <w:p w:rsidR="007C3A07" w:rsidRDefault="007C3A07"/>
    <w:sectPr w:rsidR="007C3A07" w:rsidSect="00D83B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BD" w:rsidRDefault="006B4BBD" w:rsidP="00D83B06">
      <w:pPr>
        <w:spacing w:after="0" w:line="240" w:lineRule="auto"/>
      </w:pPr>
      <w:r>
        <w:separator/>
      </w:r>
    </w:p>
  </w:endnote>
  <w:endnote w:type="continuationSeparator" w:id="0">
    <w:p w:rsidR="006B4BBD" w:rsidRDefault="006B4BBD" w:rsidP="00D8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BD" w:rsidRDefault="006B4BBD" w:rsidP="00D83B06">
      <w:pPr>
        <w:spacing w:after="0" w:line="240" w:lineRule="auto"/>
      </w:pPr>
      <w:r>
        <w:separator/>
      </w:r>
    </w:p>
  </w:footnote>
  <w:footnote w:type="continuationSeparator" w:id="0">
    <w:p w:rsidR="006B4BBD" w:rsidRDefault="006B4BBD" w:rsidP="00D83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06"/>
    <w:rsid w:val="00053214"/>
    <w:rsid w:val="00550203"/>
    <w:rsid w:val="006B4BBD"/>
    <w:rsid w:val="007C3A07"/>
    <w:rsid w:val="008174CF"/>
    <w:rsid w:val="00D8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D66A-6070-4C24-9DFD-9C6A6F0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06"/>
  </w:style>
  <w:style w:type="paragraph" w:styleId="Footer">
    <w:name w:val="footer"/>
    <w:basedOn w:val="Normal"/>
    <w:link w:val="FooterChar"/>
    <w:uiPriority w:val="99"/>
    <w:unhideWhenUsed/>
    <w:rsid w:val="00D8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06"/>
  </w:style>
  <w:style w:type="paragraph" w:customStyle="1" w:styleId="Default">
    <w:name w:val="Default"/>
    <w:rsid w:val="00D83B0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Robyn Stevenson</cp:lastModifiedBy>
  <cp:revision>2</cp:revision>
  <dcterms:created xsi:type="dcterms:W3CDTF">2021-05-04T12:32:00Z</dcterms:created>
  <dcterms:modified xsi:type="dcterms:W3CDTF">2021-05-04T13:15:00Z</dcterms:modified>
</cp:coreProperties>
</file>