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201"/>
        <w:gridCol w:w="1485"/>
        <w:gridCol w:w="319"/>
        <w:gridCol w:w="1148"/>
        <w:gridCol w:w="487"/>
        <w:gridCol w:w="2408"/>
        <w:gridCol w:w="423"/>
        <w:gridCol w:w="847"/>
        <w:gridCol w:w="523"/>
        <w:gridCol w:w="1066"/>
        <w:gridCol w:w="392"/>
        <w:gridCol w:w="1000"/>
        <w:gridCol w:w="1045"/>
      </w:tblGrid>
      <w:tr>
        <w:tc>
          <w:tcPr>
            <w:tcW w:w="1604" w:type="dxa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bookmarkStart w:id="0" w:name="_GoBack"/>
            <w:bookmarkEnd w:id="0"/>
            <w:r>
              <w:rPr>
                <w:rFonts w:ascii="NTFPreCursivef" w:hAnsi="NTFPreCursivef"/>
                <w:sz w:val="32"/>
              </w:rPr>
              <w:t>Summer 1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NTFPreCursivef" w:hAnsi="NTFPreCursivef"/>
                <w:b/>
                <w:sz w:val="32"/>
              </w:rPr>
            </w:pPr>
            <w:r>
              <w:rPr>
                <w:rFonts w:ascii="NTFPreCursivef" w:hAnsi="NTFPreCursivef"/>
                <w:b/>
                <w:sz w:val="32"/>
              </w:rPr>
              <w:t>9.00- 9.30</w:t>
            </w:r>
          </w:p>
        </w:tc>
        <w:tc>
          <w:tcPr>
            <w:tcW w:w="1467" w:type="dxa"/>
            <w:gridSpan w:val="2"/>
          </w:tcPr>
          <w:p>
            <w:pPr>
              <w:jc w:val="center"/>
              <w:rPr>
                <w:rFonts w:ascii="NTFPreCursivef" w:hAnsi="NTFPreCursivef"/>
                <w:b/>
                <w:sz w:val="32"/>
              </w:rPr>
            </w:pPr>
            <w:r>
              <w:rPr>
                <w:rFonts w:ascii="NTFPreCursivef" w:hAnsi="NTFPreCursivef"/>
                <w:b/>
                <w:sz w:val="32"/>
              </w:rPr>
              <w:t>9.30-10.25</w:t>
            </w:r>
          </w:p>
        </w:tc>
        <w:tc>
          <w:tcPr>
            <w:tcW w:w="487" w:type="dxa"/>
            <w:vMerge w:val="restart"/>
          </w:tcPr>
          <w:p>
            <w:pPr>
              <w:jc w:val="center"/>
              <w:rPr>
                <w:rFonts w:ascii="NTFPreCursivef" w:hAnsi="NTFPreCursivef"/>
                <w:b/>
                <w:sz w:val="32"/>
              </w:rPr>
            </w:pPr>
          </w:p>
        </w:tc>
        <w:tc>
          <w:tcPr>
            <w:tcW w:w="2408" w:type="dxa"/>
          </w:tcPr>
          <w:p>
            <w:pPr>
              <w:jc w:val="center"/>
              <w:rPr>
                <w:rFonts w:ascii="NTFPreCursivef" w:hAnsi="NTFPreCursivef"/>
                <w:b/>
                <w:sz w:val="32"/>
              </w:rPr>
            </w:pPr>
            <w:r>
              <w:rPr>
                <w:rFonts w:ascii="NTFPreCursivef" w:hAnsi="NTFPreCursivef"/>
                <w:b/>
                <w:sz w:val="32"/>
              </w:rPr>
              <w:t>11-12</w:t>
            </w:r>
          </w:p>
        </w:tc>
        <w:tc>
          <w:tcPr>
            <w:tcW w:w="423" w:type="dxa"/>
            <w:vMerge w:val="restart"/>
          </w:tcPr>
          <w:p>
            <w:pPr>
              <w:jc w:val="center"/>
              <w:rPr>
                <w:rFonts w:ascii="NTFPreCursivef" w:hAnsi="NTFPreCursivef"/>
                <w:b/>
                <w:sz w:val="32"/>
              </w:rPr>
            </w:pPr>
          </w:p>
        </w:tc>
        <w:tc>
          <w:tcPr>
            <w:tcW w:w="2828" w:type="dxa"/>
            <w:gridSpan w:val="4"/>
          </w:tcPr>
          <w:p>
            <w:pPr>
              <w:jc w:val="center"/>
              <w:rPr>
                <w:rFonts w:ascii="NTFPreCursivef" w:hAnsi="NTFPreCursivef"/>
                <w:b/>
                <w:sz w:val="32"/>
              </w:rPr>
            </w:pPr>
            <w:r>
              <w:rPr>
                <w:rFonts w:ascii="NTFPreCursivef" w:hAnsi="NTFPreCursivef"/>
                <w:b/>
                <w:sz w:val="32"/>
              </w:rPr>
              <w:t>1.10-2.10</w:t>
            </w:r>
          </w:p>
        </w:tc>
        <w:tc>
          <w:tcPr>
            <w:tcW w:w="2045" w:type="dxa"/>
            <w:gridSpan w:val="2"/>
          </w:tcPr>
          <w:p>
            <w:pPr>
              <w:jc w:val="center"/>
              <w:rPr>
                <w:rFonts w:ascii="NTFPreCursivef" w:hAnsi="NTFPreCursivef"/>
                <w:b/>
                <w:sz w:val="32"/>
              </w:rPr>
            </w:pPr>
            <w:r>
              <w:rPr>
                <w:rFonts w:ascii="NTFPreCursivef" w:hAnsi="NTFPreCursivef"/>
                <w:b/>
                <w:sz w:val="32"/>
              </w:rPr>
              <w:t>2.10-3.00</w:t>
            </w:r>
          </w:p>
        </w:tc>
      </w:tr>
      <w:tr>
        <w:tc>
          <w:tcPr>
            <w:tcW w:w="1604" w:type="dxa"/>
          </w:tcPr>
          <w:p>
            <w:pPr>
              <w:jc w:val="center"/>
              <w:rPr>
                <w:rFonts w:ascii="NTFPreCursivef" w:hAnsi="NTFPreCursivef"/>
                <w:b/>
                <w:sz w:val="36"/>
              </w:rPr>
            </w:pPr>
            <w:r>
              <w:rPr>
                <w:rFonts w:ascii="NTFPreCursivef" w:hAnsi="NTFPreCursivef"/>
                <w:b/>
                <w:sz w:val="36"/>
              </w:rPr>
              <w:t>Monday</w:t>
            </w:r>
          </w:p>
        </w:tc>
        <w:tc>
          <w:tcPr>
            <w:tcW w:w="2686" w:type="dxa"/>
            <w:gridSpan w:val="2"/>
            <w:tcBorders>
              <w:bottom w:val="nil"/>
            </w:tcBorders>
            <w:shd w:val="clear" w:color="auto" w:fill="F4B083" w:themeFill="accent2" w:themeFillTint="99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LM – whole class handwriting.</w:t>
            </w:r>
          </w:p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MD – GR</w:t>
            </w:r>
          </w:p>
        </w:tc>
        <w:tc>
          <w:tcPr>
            <w:tcW w:w="1467" w:type="dxa"/>
            <w:gridSpan w:val="2"/>
            <w:shd w:val="clear" w:color="auto" w:fill="FF000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Maths</w:t>
            </w:r>
          </w:p>
        </w:tc>
        <w:tc>
          <w:tcPr>
            <w:tcW w:w="487" w:type="dxa"/>
            <w:vMerge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</w:p>
        </w:tc>
        <w:tc>
          <w:tcPr>
            <w:tcW w:w="2408" w:type="dxa"/>
            <w:shd w:val="clear" w:color="auto" w:fill="00B0F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English</w:t>
            </w:r>
          </w:p>
        </w:tc>
        <w:tc>
          <w:tcPr>
            <w:tcW w:w="423" w:type="dxa"/>
            <w:vMerge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</w:p>
        </w:tc>
        <w:tc>
          <w:tcPr>
            <w:tcW w:w="847" w:type="dxa"/>
            <w:shd w:val="clear" w:color="auto" w:fill="F4B083" w:themeFill="accent2" w:themeFillTint="99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LM – GR.</w:t>
            </w:r>
          </w:p>
        </w:tc>
        <w:tc>
          <w:tcPr>
            <w:tcW w:w="4026" w:type="dxa"/>
            <w:gridSpan w:val="5"/>
            <w:shd w:val="clear" w:color="auto" w:fill="FFFF0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Science</w:t>
            </w:r>
          </w:p>
        </w:tc>
      </w:tr>
      <w:tr>
        <w:tc>
          <w:tcPr>
            <w:tcW w:w="1604" w:type="dxa"/>
          </w:tcPr>
          <w:p>
            <w:pPr>
              <w:jc w:val="center"/>
              <w:rPr>
                <w:rFonts w:ascii="NTFPreCursivef" w:hAnsi="NTFPreCursivef"/>
                <w:b/>
                <w:sz w:val="36"/>
              </w:rPr>
            </w:pPr>
            <w:r>
              <w:rPr>
                <w:rFonts w:ascii="NTFPreCursivef" w:hAnsi="NTFPreCursivef"/>
                <w:b/>
                <w:sz w:val="36"/>
              </w:rPr>
              <w:t>Tuesday</w:t>
            </w:r>
          </w:p>
        </w:tc>
        <w:tc>
          <w:tcPr>
            <w:tcW w:w="3005" w:type="dxa"/>
            <w:gridSpan w:val="3"/>
            <w:shd w:val="clear" w:color="auto" w:fill="FF000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Maths</w:t>
            </w:r>
          </w:p>
        </w:tc>
        <w:tc>
          <w:tcPr>
            <w:tcW w:w="1148" w:type="dxa"/>
            <w:shd w:val="clear" w:color="auto" w:fill="A8D08D" w:themeFill="accent6" w:themeFillTint="99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Singing assembly 10:10.</w:t>
            </w:r>
          </w:p>
        </w:tc>
        <w:tc>
          <w:tcPr>
            <w:tcW w:w="487" w:type="dxa"/>
            <w:vMerge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</w:p>
        </w:tc>
        <w:tc>
          <w:tcPr>
            <w:tcW w:w="2408" w:type="dxa"/>
            <w:shd w:val="clear" w:color="auto" w:fill="00B0F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English</w:t>
            </w:r>
          </w:p>
        </w:tc>
        <w:tc>
          <w:tcPr>
            <w:tcW w:w="423" w:type="dxa"/>
            <w:vMerge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</w:p>
        </w:tc>
        <w:tc>
          <w:tcPr>
            <w:tcW w:w="2436" w:type="dxa"/>
            <w:gridSpan w:val="3"/>
            <w:shd w:val="clear" w:color="auto" w:fill="A8D08D" w:themeFill="accent6" w:themeFillTint="99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P.E</w:t>
            </w:r>
          </w:p>
        </w:tc>
        <w:tc>
          <w:tcPr>
            <w:tcW w:w="2437" w:type="dxa"/>
            <w:gridSpan w:val="3"/>
            <w:shd w:val="clear" w:color="auto" w:fill="A8D08D" w:themeFill="accent6" w:themeFillTint="99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 xml:space="preserve">Music </w:t>
            </w:r>
          </w:p>
        </w:tc>
      </w:tr>
      <w:tr>
        <w:tc>
          <w:tcPr>
            <w:tcW w:w="1604" w:type="dxa"/>
          </w:tcPr>
          <w:p>
            <w:pPr>
              <w:jc w:val="center"/>
              <w:rPr>
                <w:rFonts w:ascii="NTFPreCursivef" w:hAnsi="NTFPreCursivef"/>
                <w:b/>
                <w:sz w:val="36"/>
              </w:rPr>
            </w:pPr>
            <w:r>
              <w:rPr>
                <w:rFonts w:ascii="NTFPreCursivef" w:hAnsi="NTFPreCursivef"/>
                <w:b/>
                <w:sz w:val="36"/>
              </w:rPr>
              <w:t>Wednesday</w:t>
            </w:r>
          </w:p>
        </w:tc>
        <w:tc>
          <w:tcPr>
            <w:tcW w:w="2686" w:type="dxa"/>
            <w:gridSpan w:val="2"/>
            <w:shd w:val="clear" w:color="auto" w:fill="F4B083" w:themeFill="accent2" w:themeFillTint="99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LM – GR group.</w:t>
            </w:r>
          </w:p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MD – Reading comprehension.</w:t>
            </w:r>
          </w:p>
        </w:tc>
        <w:tc>
          <w:tcPr>
            <w:tcW w:w="1467" w:type="dxa"/>
            <w:gridSpan w:val="2"/>
            <w:shd w:val="clear" w:color="auto" w:fill="FF000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Maths</w:t>
            </w:r>
          </w:p>
        </w:tc>
        <w:tc>
          <w:tcPr>
            <w:tcW w:w="487" w:type="dxa"/>
            <w:vMerge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</w:p>
        </w:tc>
        <w:tc>
          <w:tcPr>
            <w:tcW w:w="2408" w:type="dxa"/>
            <w:shd w:val="clear" w:color="auto" w:fill="00B0F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English</w:t>
            </w:r>
          </w:p>
        </w:tc>
        <w:tc>
          <w:tcPr>
            <w:tcW w:w="423" w:type="dxa"/>
            <w:vMerge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</w:p>
        </w:tc>
        <w:tc>
          <w:tcPr>
            <w:tcW w:w="2828" w:type="dxa"/>
            <w:gridSpan w:val="4"/>
            <w:shd w:val="clear" w:color="auto" w:fill="A6A6A6" w:themeFill="background1" w:themeFillShade="A6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P.E</w:t>
            </w:r>
          </w:p>
        </w:tc>
        <w:tc>
          <w:tcPr>
            <w:tcW w:w="1000" w:type="dxa"/>
            <w:shd w:val="clear" w:color="auto" w:fill="0070C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PSHCE</w:t>
            </w:r>
          </w:p>
        </w:tc>
        <w:tc>
          <w:tcPr>
            <w:tcW w:w="1045" w:type="dxa"/>
            <w:shd w:val="clear" w:color="auto" w:fill="C0000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Spanish</w:t>
            </w:r>
          </w:p>
        </w:tc>
      </w:tr>
      <w:tr>
        <w:tc>
          <w:tcPr>
            <w:tcW w:w="1604" w:type="dxa"/>
          </w:tcPr>
          <w:p>
            <w:pPr>
              <w:jc w:val="center"/>
              <w:rPr>
                <w:rFonts w:ascii="NTFPreCursivef" w:hAnsi="NTFPreCursivef"/>
                <w:b/>
                <w:sz w:val="36"/>
              </w:rPr>
            </w:pPr>
            <w:r>
              <w:rPr>
                <w:rFonts w:ascii="NTFPreCursivef" w:hAnsi="NTFPreCursivef"/>
                <w:b/>
                <w:sz w:val="36"/>
              </w:rPr>
              <w:t>Thursday</w:t>
            </w:r>
          </w:p>
        </w:tc>
        <w:tc>
          <w:tcPr>
            <w:tcW w:w="2686" w:type="dxa"/>
            <w:gridSpan w:val="2"/>
            <w:shd w:val="clear" w:color="auto" w:fill="F4B083" w:themeFill="accent2" w:themeFillTint="99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LM – GR group.</w:t>
            </w:r>
          </w:p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MD – Reading comprehension.</w:t>
            </w:r>
          </w:p>
        </w:tc>
        <w:tc>
          <w:tcPr>
            <w:tcW w:w="1467" w:type="dxa"/>
            <w:gridSpan w:val="2"/>
            <w:shd w:val="clear" w:color="auto" w:fill="00B0F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English</w:t>
            </w:r>
          </w:p>
        </w:tc>
        <w:tc>
          <w:tcPr>
            <w:tcW w:w="487" w:type="dxa"/>
            <w:vMerge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</w:p>
        </w:tc>
        <w:tc>
          <w:tcPr>
            <w:tcW w:w="2408" w:type="dxa"/>
            <w:shd w:val="clear" w:color="auto" w:fill="00B0F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English</w:t>
            </w:r>
          </w:p>
        </w:tc>
        <w:tc>
          <w:tcPr>
            <w:tcW w:w="423" w:type="dxa"/>
            <w:vMerge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</w:p>
        </w:tc>
        <w:tc>
          <w:tcPr>
            <w:tcW w:w="2828" w:type="dxa"/>
            <w:gridSpan w:val="4"/>
            <w:shd w:val="clear" w:color="auto" w:fill="FFD966" w:themeFill="accent4" w:themeFillTint="99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History</w:t>
            </w:r>
          </w:p>
        </w:tc>
        <w:tc>
          <w:tcPr>
            <w:tcW w:w="2045" w:type="dxa"/>
            <w:gridSpan w:val="2"/>
            <w:shd w:val="clear" w:color="auto" w:fill="FF33CC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Art</w:t>
            </w:r>
          </w:p>
        </w:tc>
      </w:tr>
      <w:tr>
        <w:tc>
          <w:tcPr>
            <w:tcW w:w="1604" w:type="dxa"/>
          </w:tcPr>
          <w:p>
            <w:pPr>
              <w:jc w:val="center"/>
              <w:rPr>
                <w:rFonts w:ascii="NTFPreCursivef" w:hAnsi="NTFPreCursivef"/>
                <w:b/>
                <w:sz w:val="36"/>
              </w:rPr>
            </w:pPr>
            <w:r>
              <w:rPr>
                <w:rFonts w:ascii="NTFPreCursivef" w:hAnsi="NTFPreCursivef"/>
                <w:b/>
                <w:sz w:val="36"/>
              </w:rPr>
              <w:t>Friday</w:t>
            </w:r>
          </w:p>
        </w:tc>
        <w:tc>
          <w:tcPr>
            <w:tcW w:w="1201" w:type="dxa"/>
            <w:shd w:val="clear" w:color="auto" w:fill="A8D08D" w:themeFill="accent6" w:themeFillTint="99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Good News assembly.</w:t>
            </w:r>
          </w:p>
        </w:tc>
        <w:tc>
          <w:tcPr>
            <w:tcW w:w="1485" w:type="dxa"/>
            <w:shd w:val="clear" w:color="auto" w:fill="F4B083" w:themeFill="accent2" w:themeFillTint="99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LM – GR group.</w:t>
            </w:r>
          </w:p>
        </w:tc>
        <w:tc>
          <w:tcPr>
            <w:tcW w:w="1467" w:type="dxa"/>
            <w:gridSpan w:val="2"/>
            <w:shd w:val="clear" w:color="auto" w:fill="FF000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Maths.</w:t>
            </w:r>
          </w:p>
        </w:tc>
        <w:tc>
          <w:tcPr>
            <w:tcW w:w="487" w:type="dxa"/>
            <w:vMerge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</w:p>
        </w:tc>
        <w:tc>
          <w:tcPr>
            <w:tcW w:w="2408" w:type="dxa"/>
            <w:shd w:val="clear" w:color="auto" w:fill="FF000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Maths</w:t>
            </w:r>
          </w:p>
        </w:tc>
        <w:tc>
          <w:tcPr>
            <w:tcW w:w="423" w:type="dxa"/>
            <w:vMerge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</w:p>
        </w:tc>
        <w:tc>
          <w:tcPr>
            <w:tcW w:w="1370" w:type="dxa"/>
            <w:gridSpan w:val="2"/>
            <w:shd w:val="clear" w:color="auto" w:fill="66FFFF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Library</w:t>
            </w:r>
          </w:p>
        </w:tc>
        <w:tc>
          <w:tcPr>
            <w:tcW w:w="1458" w:type="dxa"/>
            <w:gridSpan w:val="2"/>
            <w:shd w:val="clear" w:color="auto" w:fill="7030A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Computing</w:t>
            </w:r>
          </w:p>
        </w:tc>
        <w:tc>
          <w:tcPr>
            <w:tcW w:w="2045" w:type="dxa"/>
            <w:gridSpan w:val="2"/>
            <w:shd w:val="clear" w:color="auto" w:fill="FFC000"/>
          </w:tcPr>
          <w:p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R.E</w:t>
            </w:r>
          </w:p>
        </w:tc>
      </w:tr>
    </w:tbl>
    <w:p/>
    <w:p>
      <w:pPr>
        <w:rPr>
          <w:rFonts w:ascii="NTFPreCursivef" w:hAnsi="NTFPreCursivef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mills</dc:creator>
  <cp:lastModifiedBy>katherine.matthews</cp:lastModifiedBy>
  <cp:revision>2</cp:revision>
  <dcterms:created xsi:type="dcterms:W3CDTF">2018-04-25T14:42:00Z</dcterms:created>
  <dcterms:modified xsi:type="dcterms:W3CDTF">2018-04-25T14:42:00Z</dcterms:modified>
</cp:coreProperties>
</file>